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4AA2" w:rsidRPr="00CD63C8" w:rsidRDefault="00F34AA2" w:rsidP="00F34AA2">
      <w:pPr>
        <w:keepLines/>
        <w:tabs>
          <w:tab w:val="right" w:pos="10440"/>
          <w:tab w:val="right" w:pos="13323"/>
        </w:tabs>
        <w:autoSpaceDE/>
        <w:autoSpaceDN/>
        <w:adjustRightInd/>
        <w:spacing w:after="0"/>
        <w:rPr>
          <w:rFonts w:ascii="Arial" w:hAnsi="Arial" w:cs="Arial"/>
          <w:b/>
          <w:sz w:val="24"/>
          <w:szCs w:val="24"/>
          <w:lang w:eastAsia="zh-CN"/>
        </w:rPr>
      </w:pPr>
      <w:r w:rsidRPr="00CD63C8">
        <w:rPr>
          <w:rFonts w:ascii="Arial" w:eastAsia="MS Mincho" w:hAnsi="Arial" w:cs="Arial"/>
          <w:b/>
          <w:sz w:val="24"/>
          <w:szCs w:val="24"/>
        </w:rPr>
        <w:t>3GPP TSG-RAN WG4 Meeting #</w:t>
      </w:r>
      <w:r w:rsidRPr="00CD63C8">
        <w:rPr>
          <w:rFonts w:eastAsia="MS Mincho"/>
        </w:rPr>
        <w:t xml:space="preserve"> </w:t>
      </w:r>
      <w:r w:rsidRPr="00CD63C8">
        <w:rPr>
          <w:rFonts w:ascii="Arial" w:eastAsia="MS Mincho" w:hAnsi="Arial" w:cs="Arial"/>
          <w:b/>
          <w:sz w:val="24"/>
          <w:szCs w:val="24"/>
        </w:rPr>
        <w:t>99-e</w:t>
      </w:r>
      <w:r w:rsidRPr="00CD63C8">
        <w:rPr>
          <w:rFonts w:ascii="Arial" w:eastAsia="MS Mincho" w:hAnsi="Arial" w:cs="Arial"/>
          <w:b/>
          <w:sz w:val="24"/>
          <w:szCs w:val="24"/>
        </w:rPr>
        <w:tab/>
      </w:r>
      <w:r w:rsidRPr="00F34AA2">
        <w:rPr>
          <w:rFonts w:ascii="Arial" w:eastAsia="MS Mincho" w:hAnsi="Arial" w:cs="Arial"/>
          <w:b/>
          <w:sz w:val="24"/>
          <w:szCs w:val="24"/>
        </w:rPr>
        <w:t>R4-2110661</w:t>
      </w:r>
    </w:p>
    <w:p w:rsidR="00F34AA2" w:rsidRPr="00CD63C8" w:rsidRDefault="00F34AA2" w:rsidP="00F34AA2">
      <w:pPr>
        <w:tabs>
          <w:tab w:val="right" w:pos="9781"/>
          <w:tab w:val="right" w:pos="13323"/>
        </w:tabs>
        <w:autoSpaceDE/>
        <w:autoSpaceDN/>
        <w:adjustRightInd/>
        <w:spacing w:after="0"/>
        <w:outlineLvl w:val="0"/>
        <w:rPr>
          <w:rFonts w:ascii="Arial" w:hAnsi="Arial"/>
          <w:b/>
          <w:sz w:val="24"/>
          <w:szCs w:val="24"/>
          <w:lang w:eastAsia="zh-CN"/>
        </w:rPr>
      </w:pPr>
      <w:r w:rsidRPr="00CD63C8">
        <w:rPr>
          <w:rFonts w:ascii="Arial" w:hAnsi="Arial"/>
          <w:b/>
          <w:sz w:val="24"/>
          <w:szCs w:val="24"/>
          <w:lang w:eastAsia="zh-CN"/>
        </w:rPr>
        <w:t>Electronic Meeting, May. 19-27, 2021</w:t>
      </w:r>
    </w:p>
    <w:p w:rsidR="00237FCA" w:rsidRPr="009D3032" w:rsidRDefault="00237FCA" w:rsidP="00563F22">
      <w:pPr>
        <w:ind w:left="1985" w:hanging="1985"/>
        <w:rPr>
          <w:rFonts w:ascii="Arial" w:hAnsi="Arial"/>
          <w:b/>
          <w:noProof/>
          <w:sz w:val="24"/>
          <w:szCs w:val="20"/>
          <w:lang w:eastAsia="zh-CN"/>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F34AA2">
        <w:rPr>
          <w:rFonts w:ascii="Arial" w:hAnsi="Arial" w:cs="Arial"/>
        </w:rPr>
        <w:t>Huawei, HiSilicon</w:t>
      </w:r>
    </w:p>
    <w:p w:rsidR="00563F22" w:rsidRPr="005C2410" w:rsidRDefault="00563F22" w:rsidP="00563F22">
      <w:pPr>
        <w:ind w:left="1985" w:hanging="1985"/>
        <w:rPr>
          <w:rFonts w:ascii="Arial" w:hAnsi="Arial" w:cs="Arial"/>
          <w:b/>
          <w:lang w:eastAsia="zh-CN"/>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F34AA2" w:rsidRPr="00F34AA2">
        <w:rPr>
          <w:rFonts w:ascii="Arial" w:hAnsi="Arial" w:cs="Arial"/>
        </w:rPr>
        <w:t>Evaluation for use of larger channel bandwidth</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F34AA2" w:rsidRPr="00F34AA2">
        <w:rPr>
          <w:rFonts w:ascii="Arial" w:hAnsi="Arial" w:cs="Arial"/>
        </w:rPr>
        <w:t>10</w:t>
      </w:r>
      <w:r w:rsidR="00490DF4" w:rsidRPr="00F34AA2">
        <w:rPr>
          <w:rFonts w:ascii="Arial" w:hAnsi="Arial" w:cs="Arial"/>
        </w:rPr>
        <w:t>.2.2</w:t>
      </w:r>
      <w:bookmarkStart w:id="0" w:name="_GoBack"/>
      <w:bookmarkEnd w:id="0"/>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sidR="0066180D" w:rsidRPr="00F34AA2">
        <w:rPr>
          <w:rFonts w:ascii="Arial" w:hAnsi="Arial" w:cs="Arial"/>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462611" w:rsidRDefault="00462611" w:rsidP="005D46E8">
      <w:pPr>
        <w:spacing w:before="120"/>
        <w:rPr>
          <w:lang w:eastAsia="zh-CN"/>
        </w:rPr>
      </w:pPr>
      <w:r>
        <w:rPr>
          <w:rFonts w:hint="eastAsia"/>
          <w:lang w:eastAsia="zh-CN"/>
        </w:rPr>
        <w:t>I</w:t>
      </w:r>
      <w:r>
        <w:rPr>
          <w:lang w:eastAsia="zh-CN"/>
        </w:rPr>
        <w:t>n last RAN meeting, a new SI has been approved on efficient utilization of licensed spectrum that is not aligned with existing NR channel bandwidths.</w:t>
      </w:r>
      <w:r w:rsidR="00DB37D4">
        <w:rPr>
          <w:lang w:eastAsia="zh-CN"/>
        </w:rPr>
        <w:t xml:space="preserve"> One of the objective is to </w:t>
      </w:r>
      <w:r w:rsidR="009D3032">
        <w:rPr>
          <w:lang w:eastAsia="zh-CN"/>
        </w:rPr>
        <w:t>evaluate</w:t>
      </w:r>
      <w:r w:rsidR="00DB37D4">
        <w:rPr>
          <w:lang w:eastAsia="zh-CN"/>
        </w:rPr>
        <w:t xml:space="preserve"> the use of </w:t>
      </w:r>
      <w:r w:rsidR="009D3032">
        <w:rPr>
          <w:lang w:eastAsia="zh-CN"/>
        </w:rPr>
        <w:t>larger</w:t>
      </w:r>
      <w:r w:rsidR="00DB37D4">
        <w:rPr>
          <w:lang w:eastAsia="zh-CN"/>
        </w:rPr>
        <w:t xml:space="preserve"> channel bandwidths.</w:t>
      </w:r>
    </w:p>
    <w:p w:rsidR="009D3032" w:rsidRPr="00284B2F" w:rsidRDefault="009D3032" w:rsidP="009D3032">
      <w:pPr>
        <w:pStyle w:val="af0"/>
        <w:numPr>
          <w:ilvl w:val="0"/>
          <w:numId w:val="7"/>
        </w:numPr>
        <w:spacing w:after="180"/>
        <w:rPr>
          <w:lang w:eastAsia="ko-KR"/>
        </w:rPr>
      </w:pP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rsidR="00DB688D" w:rsidRPr="00DB688D" w:rsidRDefault="00DB688D" w:rsidP="005D46E8">
      <w:pPr>
        <w:spacing w:before="120"/>
        <w:rPr>
          <w:lang w:eastAsia="zh-CN"/>
        </w:rPr>
      </w:pPr>
      <w:r>
        <w:rPr>
          <w:lang w:eastAsia="zh-CN"/>
        </w:rPr>
        <w:t>In the contribution, we provid</w:t>
      </w:r>
      <w:r w:rsidR="00DB37D4">
        <w:rPr>
          <w:lang w:eastAsia="zh-CN"/>
        </w:rPr>
        <w:t>e discussion on this alternative.</w:t>
      </w:r>
    </w:p>
    <w:p w:rsidR="00DB37D4" w:rsidRDefault="00E407EA" w:rsidP="00DB37D4">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Discussion</w:t>
      </w:r>
    </w:p>
    <w:p w:rsidR="00814E03" w:rsidRDefault="00D44812" w:rsidP="003D4A9C">
      <w:pPr>
        <w:rPr>
          <w:lang w:eastAsia="zh-CN"/>
        </w:rPr>
      </w:pPr>
      <w:r>
        <w:rPr>
          <w:lang w:eastAsia="zh-CN"/>
        </w:rPr>
        <w:t xml:space="preserve">Per way forward on </w:t>
      </w:r>
      <w:r w:rsidR="002E42D9">
        <w:rPr>
          <w:lang w:eastAsia="zh-CN"/>
        </w:rPr>
        <w:t>use of larger CBW agreed in previous</w:t>
      </w:r>
      <w:r>
        <w:rPr>
          <w:lang w:eastAsia="zh-CN"/>
        </w:rPr>
        <w:t xml:space="preserve"> meeting [2],</w:t>
      </w:r>
    </w:p>
    <w:p w:rsidR="008E2536" w:rsidRPr="00D44812" w:rsidRDefault="0038572E" w:rsidP="00D44812">
      <w:pPr>
        <w:numPr>
          <w:ilvl w:val="0"/>
          <w:numId w:val="8"/>
        </w:numPr>
        <w:rPr>
          <w:lang w:eastAsia="zh-CN"/>
        </w:rPr>
      </w:pPr>
      <w:r w:rsidRPr="00D44812">
        <w:rPr>
          <w:lang w:val="en-CA" w:eastAsia="zh-CN"/>
        </w:rPr>
        <w:t>WiderCHBW use for the UE in DL and BS in UL with BWP related to network SU is further studied</w:t>
      </w:r>
    </w:p>
    <w:p w:rsidR="008E2536" w:rsidRPr="00D44812" w:rsidRDefault="0038572E" w:rsidP="00D44812">
      <w:pPr>
        <w:numPr>
          <w:ilvl w:val="1"/>
          <w:numId w:val="8"/>
        </w:numPr>
        <w:rPr>
          <w:lang w:eastAsia="zh-CN"/>
        </w:rPr>
      </w:pPr>
      <w:r w:rsidRPr="00D44812">
        <w:rPr>
          <w:lang w:val="en-CA" w:eastAsia="zh-CN"/>
        </w:rPr>
        <w:t>What ACS and blocking performance can be expected when only a subset of configured channel BW(the “widerCHBW) RBs are used</w:t>
      </w:r>
    </w:p>
    <w:p w:rsidR="008E2536" w:rsidRPr="00D44812" w:rsidRDefault="0038572E" w:rsidP="00D44812">
      <w:pPr>
        <w:numPr>
          <w:ilvl w:val="1"/>
          <w:numId w:val="8"/>
        </w:numPr>
        <w:rPr>
          <w:lang w:eastAsia="zh-CN"/>
        </w:rPr>
      </w:pPr>
      <w:r w:rsidRPr="00D44812">
        <w:rPr>
          <w:lang w:eastAsia="zh-CN"/>
        </w:rPr>
        <w:t>How many RBs can be used</w:t>
      </w:r>
    </w:p>
    <w:p w:rsidR="008E2536" w:rsidRPr="00D44812" w:rsidRDefault="0038572E" w:rsidP="00D44812">
      <w:pPr>
        <w:numPr>
          <w:ilvl w:val="1"/>
          <w:numId w:val="8"/>
        </w:numPr>
        <w:rPr>
          <w:lang w:eastAsia="zh-CN"/>
        </w:rPr>
      </w:pPr>
      <w:r w:rsidRPr="00D44812">
        <w:rPr>
          <w:lang w:val="en-CA" w:eastAsia="zh-CN"/>
        </w:rPr>
        <w:t>Whether this is applicable to bands where the WiderBW is not specified (ie a band where &gt;10MHz irregular BW is requested but 15MHz BW is not available in that band)</w:t>
      </w:r>
    </w:p>
    <w:p w:rsidR="008E2536" w:rsidRPr="00D44812" w:rsidRDefault="0038572E" w:rsidP="00D44812">
      <w:pPr>
        <w:numPr>
          <w:ilvl w:val="1"/>
          <w:numId w:val="8"/>
        </w:numPr>
        <w:rPr>
          <w:lang w:eastAsia="zh-CN"/>
        </w:rPr>
      </w:pPr>
      <w:r w:rsidRPr="00D44812">
        <w:rPr>
          <w:lang w:val="en-CA" w:eastAsia="zh-CN"/>
        </w:rPr>
        <w:t>Impact of near-far effect is assessed for non-collocated scenario, but WiderCHBW in DL may be applicable to co-located adjacent channels deployment</w:t>
      </w:r>
    </w:p>
    <w:p w:rsidR="008E2536" w:rsidRPr="00D44812" w:rsidRDefault="0038572E" w:rsidP="00D44812">
      <w:pPr>
        <w:numPr>
          <w:ilvl w:val="0"/>
          <w:numId w:val="8"/>
        </w:numPr>
        <w:rPr>
          <w:lang w:eastAsia="zh-CN"/>
        </w:rPr>
      </w:pPr>
      <w:r w:rsidRPr="00D44812">
        <w:rPr>
          <w:lang w:val="en-CA" w:eastAsia="zh-CN"/>
        </w:rPr>
        <w:t>In UL it is proposed that only SmallerCHBW is used by the UE, as UL peak throughput is not critical and it guaranties that emissions are met:</w:t>
      </w:r>
    </w:p>
    <w:p w:rsidR="008E2536" w:rsidRPr="00D44812" w:rsidRDefault="0038572E" w:rsidP="00D44812">
      <w:pPr>
        <w:numPr>
          <w:ilvl w:val="1"/>
          <w:numId w:val="8"/>
        </w:numPr>
        <w:rPr>
          <w:lang w:eastAsia="zh-CN"/>
        </w:rPr>
      </w:pPr>
      <w:r w:rsidRPr="00D44812">
        <w:rPr>
          <w:lang w:val="en-CA" w:eastAsia="zh-CN"/>
        </w:rPr>
        <w:t>Legacy UEs use SmallerCHBW in one position compatible with current SSB raster</w:t>
      </w:r>
    </w:p>
    <w:p w:rsidR="008E2536" w:rsidRPr="00D44812" w:rsidRDefault="0038572E" w:rsidP="00D44812">
      <w:pPr>
        <w:numPr>
          <w:ilvl w:val="1"/>
          <w:numId w:val="8"/>
        </w:numPr>
        <w:rPr>
          <w:lang w:eastAsia="zh-CN"/>
        </w:rPr>
      </w:pPr>
      <w:r w:rsidRPr="00D44812">
        <w:rPr>
          <w:lang w:val="en-CA" w:eastAsia="zh-CN"/>
        </w:rPr>
        <w:t>New UEs can use SmallerCHBW with overlap from the network prospective</w:t>
      </w:r>
    </w:p>
    <w:p w:rsidR="008E2536" w:rsidRPr="00D44812" w:rsidRDefault="0038572E" w:rsidP="00D44812">
      <w:pPr>
        <w:numPr>
          <w:ilvl w:val="0"/>
          <w:numId w:val="8"/>
        </w:numPr>
        <w:rPr>
          <w:lang w:eastAsia="zh-CN"/>
        </w:rPr>
      </w:pPr>
      <w:r w:rsidRPr="00D44812">
        <w:rPr>
          <w:lang w:val="en-CA" w:eastAsia="zh-CN"/>
        </w:rPr>
        <w:t>In DL it may not be feasible for the BS to use WiderBW and meet emissions. It should be studied if there are restrictions in using WiderBW on the BS side</w:t>
      </w:r>
    </w:p>
    <w:p w:rsidR="00D44812" w:rsidRDefault="000B0649" w:rsidP="003D4A9C">
      <w:pPr>
        <w:rPr>
          <w:lang w:eastAsia="zh-CN"/>
        </w:rPr>
      </w:pPr>
      <w:r>
        <w:rPr>
          <w:lang w:eastAsia="zh-CN"/>
        </w:rPr>
        <w:t xml:space="preserve">As discussed </w:t>
      </w:r>
      <w:r w:rsidR="007B0914">
        <w:rPr>
          <w:lang w:eastAsia="zh-CN"/>
        </w:rPr>
        <w:t xml:space="preserve">in last meeting [3], </w:t>
      </w:r>
      <w:r w:rsidRPr="000B0649">
        <w:rPr>
          <w:lang w:eastAsia="zh-CN"/>
        </w:rPr>
        <w:t>WiderCHBW is only applicable for co-located adjacent channel deployments</w:t>
      </w:r>
      <w:r>
        <w:rPr>
          <w:lang w:eastAsia="zh-CN"/>
        </w:rPr>
        <w:t xml:space="preserve"> </w:t>
      </w:r>
      <w:r w:rsidR="007B0914">
        <w:rPr>
          <w:lang w:eastAsia="zh-CN"/>
        </w:rPr>
        <w:t>and for non-collocated, the existing ACLR/OBUE for BS and ACS/blocking for UE applicable at channel edge should be met. Hence without new channel filter</w:t>
      </w:r>
      <w:r w:rsidR="00E016AF">
        <w:rPr>
          <w:lang w:eastAsia="zh-CN"/>
        </w:rPr>
        <w:t>,</w:t>
      </w:r>
      <w:r w:rsidR="007B0914">
        <w:rPr>
          <w:lang w:eastAsia="zh-CN"/>
        </w:rPr>
        <w:t xml:space="preserve"> WiderCHBW might not be applicable for non-collocated scenarios. T</w:t>
      </w:r>
      <w:r>
        <w:rPr>
          <w:lang w:eastAsia="zh-CN"/>
        </w:rPr>
        <w:t xml:space="preserve">he scenarios are quite limited </w:t>
      </w:r>
      <w:r w:rsidR="007B0914">
        <w:rPr>
          <w:lang w:eastAsia="zh-CN"/>
        </w:rPr>
        <w:t xml:space="preserve">if only applicable for co-located scenarios </w:t>
      </w:r>
      <w:r>
        <w:rPr>
          <w:lang w:eastAsia="zh-CN"/>
        </w:rPr>
        <w:t xml:space="preserve">and may not </w:t>
      </w:r>
      <w:r w:rsidR="007B0914">
        <w:rPr>
          <w:lang w:eastAsia="zh-CN"/>
        </w:rPr>
        <w:t xml:space="preserve">be </w:t>
      </w:r>
      <w:r>
        <w:rPr>
          <w:lang w:eastAsia="zh-CN"/>
        </w:rPr>
        <w:t xml:space="preserve">feasible in reality since the adjacent channel is another operator whose network plan cannot be known. In [4], </w:t>
      </w:r>
      <w:r w:rsidR="00B867AB">
        <w:rPr>
          <w:lang w:eastAsia="zh-CN"/>
        </w:rPr>
        <w:t>it clarified that in order to meet the unwanted emission requirement outside the spectrum block, an operator-specific bandwidth may be implemented in the BS. In the case, new channel filters are needed for the gNB which is not prioritized as stated in the SID.</w:t>
      </w:r>
      <w:r w:rsidR="001D2F3D">
        <w:rPr>
          <w:lang w:eastAsia="zh-CN"/>
        </w:rPr>
        <w:t xml:space="preserve"> And for receiver ACS/blocking there is a similar issue, i.e. new channel filters will be needed.</w:t>
      </w:r>
    </w:p>
    <w:p w:rsidR="000B0649" w:rsidRDefault="00B867AB" w:rsidP="00B867AB">
      <w:pPr>
        <w:pStyle w:val="NO"/>
        <w:ind w:hanging="490"/>
        <w:rPr>
          <w:lang w:eastAsia="ko-KR"/>
        </w:rPr>
      </w:pPr>
      <w:r>
        <w:rPr>
          <w:lang w:eastAsia="zh-CN"/>
        </w:rPr>
        <w:lastRenderedPageBreak/>
        <w:t>“</w:t>
      </w:r>
      <w:r w:rsidRPr="00A76C8A">
        <w:rPr>
          <w:lang w:eastAsia="ko-KR"/>
        </w:rPr>
        <w:t>NOTE:</w:t>
      </w:r>
      <w:r w:rsidRPr="00A76C8A">
        <w:rPr>
          <w:lang w:eastAsia="ko-KR"/>
        </w:rPr>
        <w:tab/>
      </w:r>
      <w:r w:rsidRPr="00A76C8A">
        <w:rPr>
          <w:lang w:eastAsia="zh-CN"/>
        </w:rPr>
        <w:t xml:space="preserve">For all considered solutions, new (dedicated) channel filters (e.g. </w:t>
      </w:r>
      <w:r w:rsidRPr="00A76C8A">
        <w:t>non-integer-multiples of 5MHz</w:t>
      </w:r>
      <w:r w:rsidRPr="00A76C8A">
        <w:rPr>
          <w:lang w:eastAsia="zh-CN"/>
        </w:rPr>
        <w:t>) are not considered for the UE and not prioritized for the gNB.</w:t>
      </w:r>
      <w:r>
        <w:rPr>
          <w:lang w:eastAsia="zh-CN"/>
        </w:rPr>
        <w:t>”</w:t>
      </w:r>
    </w:p>
    <w:p w:rsidR="00B867AB" w:rsidRPr="00B867AB" w:rsidRDefault="001D2F3D" w:rsidP="003D4A9C">
      <w:pPr>
        <w:rPr>
          <w:lang w:eastAsia="zh-CN"/>
        </w:rPr>
      </w:pPr>
      <w:r>
        <w:rPr>
          <w:lang w:eastAsia="zh-CN"/>
        </w:rPr>
        <w:t xml:space="preserve">And for UE it was agreed in [2] that </w:t>
      </w:r>
      <w:r w:rsidRPr="00D44812">
        <w:rPr>
          <w:lang w:val="en-CA" w:eastAsia="zh-CN"/>
        </w:rPr>
        <w:t>WiderCHBW</w:t>
      </w:r>
      <w:r>
        <w:rPr>
          <w:lang w:val="en-CA" w:eastAsia="zh-CN"/>
        </w:rPr>
        <w:t xml:space="preserve"> is only used in DL and </w:t>
      </w:r>
      <w:r w:rsidRPr="00D44812">
        <w:rPr>
          <w:lang w:val="en-CA" w:eastAsia="zh-CN"/>
        </w:rPr>
        <w:t>SmallerCHBW is used</w:t>
      </w:r>
      <w:r>
        <w:rPr>
          <w:lang w:val="en-CA" w:eastAsia="zh-CN"/>
        </w:rPr>
        <w:t xml:space="preserve"> in the UL. For the UE with capability to receiver the entire spectrum block</w:t>
      </w:r>
      <w:r w:rsidR="007B0914">
        <w:rPr>
          <w:lang w:val="en-CA" w:eastAsia="zh-CN"/>
        </w:rPr>
        <w:t xml:space="preserve">, </w:t>
      </w:r>
      <w:r w:rsidR="0066734D">
        <w:rPr>
          <w:lang w:val="en-CA" w:eastAsia="zh-CN"/>
        </w:rPr>
        <w:t>the requirements are not clear if no dedicated channel filter is assumed, such as how many RBs should be used as guard band and how large blocking it can handle</w:t>
      </w:r>
      <w:r w:rsidR="0066734D">
        <w:rPr>
          <w:rFonts w:hint="eastAsia"/>
          <w:lang w:val="en-CA" w:eastAsia="zh-CN"/>
        </w:rPr>
        <w:t>?</w:t>
      </w:r>
    </w:p>
    <w:p w:rsidR="009C1FA8" w:rsidRDefault="009C1FA8" w:rsidP="003D4A9C">
      <w:pPr>
        <w:rPr>
          <w:b/>
          <w:lang w:eastAsia="zh-CN"/>
        </w:rPr>
      </w:pPr>
      <w:r>
        <w:rPr>
          <w:b/>
          <w:lang w:eastAsia="zh-CN"/>
        </w:rPr>
        <w:t xml:space="preserve">Observation 1: </w:t>
      </w:r>
      <w:r w:rsidR="00E016AF" w:rsidRPr="00E016AF">
        <w:rPr>
          <w:b/>
          <w:lang w:eastAsia="zh-CN"/>
        </w:rPr>
        <w:t>Without introduction of new channel filters, WiderCHBW might not be applicable for non-collocated scenarios</w:t>
      </w:r>
      <w:r w:rsidR="00010945" w:rsidRPr="00E016AF">
        <w:rPr>
          <w:b/>
          <w:lang w:eastAsia="zh-CN"/>
        </w:rPr>
        <w:t>.</w:t>
      </w:r>
    </w:p>
    <w:p w:rsidR="00E016AF" w:rsidRPr="00E016AF" w:rsidRDefault="00123FFC" w:rsidP="003D4A9C">
      <w:pPr>
        <w:rPr>
          <w:b/>
          <w:lang w:eastAsia="zh-CN"/>
        </w:rPr>
      </w:pPr>
      <w:r>
        <w:rPr>
          <w:b/>
          <w:lang w:eastAsia="zh-CN"/>
        </w:rPr>
        <w:t xml:space="preserve">Observation 2: </w:t>
      </w:r>
      <w:r w:rsidR="00E016AF" w:rsidRPr="00E016AF">
        <w:rPr>
          <w:b/>
          <w:lang w:eastAsia="zh-CN"/>
        </w:rPr>
        <w:t>To meet the TX emission and RX ACS/blocking, new channel filters are needed for the gNB which is not prioritized as stated in the SID.</w:t>
      </w:r>
    </w:p>
    <w:p w:rsidR="00E016AF" w:rsidRDefault="00E016AF" w:rsidP="003D4A9C">
      <w:pPr>
        <w:rPr>
          <w:b/>
          <w:lang w:eastAsia="zh-CN"/>
        </w:rPr>
      </w:pPr>
      <w:r w:rsidRPr="00E016AF">
        <w:rPr>
          <w:b/>
          <w:lang w:eastAsia="zh-CN"/>
        </w:rPr>
        <w:t>Observation 3: If no dedicated channel filter is assumed, the requirements are not clear for the UE with capability to receiver the entire spectrum block.</w:t>
      </w:r>
    </w:p>
    <w:p w:rsidR="00A45357"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FD5A1B" w:rsidRDefault="00523B83" w:rsidP="00FD5A1B">
      <w:pPr>
        <w:rPr>
          <w:lang w:eastAsia="zh-CN"/>
        </w:rPr>
      </w:pPr>
      <w:r>
        <w:rPr>
          <w:rFonts w:hint="eastAsia"/>
          <w:lang w:eastAsia="zh-CN"/>
        </w:rPr>
        <w:t>I</w:t>
      </w:r>
      <w:r>
        <w:rPr>
          <w:lang w:eastAsia="zh-CN"/>
        </w:rPr>
        <w:t xml:space="preserve">n the contribution, we provide discussion on </w:t>
      </w:r>
      <w:r w:rsidR="00D11B7D">
        <w:rPr>
          <w:lang w:eastAsia="zh-CN"/>
        </w:rPr>
        <w:t>the use of larger channel bandwidths.</w:t>
      </w:r>
    </w:p>
    <w:p w:rsidR="00E016AF" w:rsidRDefault="00E016AF" w:rsidP="00E016AF">
      <w:pPr>
        <w:rPr>
          <w:b/>
          <w:lang w:eastAsia="zh-CN"/>
        </w:rPr>
      </w:pPr>
      <w:r>
        <w:rPr>
          <w:b/>
          <w:lang w:eastAsia="zh-CN"/>
        </w:rPr>
        <w:t xml:space="preserve">Observation 1: </w:t>
      </w:r>
      <w:r w:rsidRPr="00E016AF">
        <w:rPr>
          <w:b/>
          <w:lang w:eastAsia="zh-CN"/>
        </w:rPr>
        <w:t>Without introduction of new channel filters, WiderCHBW might not be applicable for non-collocated scenarios.</w:t>
      </w:r>
    </w:p>
    <w:p w:rsidR="00E016AF" w:rsidRPr="00E016AF" w:rsidRDefault="00E016AF" w:rsidP="00E016AF">
      <w:pPr>
        <w:rPr>
          <w:b/>
          <w:lang w:eastAsia="zh-CN"/>
        </w:rPr>
      </w:pPr>
      <w:r>
        <w:rPr>
          <w:b/>
          <w:lang w:eastAsia="zh-CN"/>
        </w:rPr>
        <w:t xml:space="preserve">Observation 2: </w:t>
      </w:r>
      <w:r w:rsidRPr="00E016AF">
        <w:rPr>
          <w:b/>
          <w:lang w:eastAsia="zh-CN"/>
        </w:rPr>
        <w:t>To meet the TX emission and RX ACS/blocking, new channel filters are needed for the gNB which is not prioritized as stated in the SID.</w:t>
      </w:r>
    </w:p>
    <w:p w:rsidR="00E016AF" w:rsidRDefault="00E016AF" w:rsidP="00E016AF">
      <w:pPr>
        <w:rPr>
          <w:b/>
          <w:lang w:eastAsia="zh-CN"/>
        </w:rPr>
      </w:pPr>
      <w:r w:rsidRPr="00E016AF">
        <w:rPr>
          <w:b/>
          <w:lang w:eastAsia="zh-CN"/>
        </w:rPr>
        <w:t>Observation 3: If no dedicated channel filter is assumed, the requirements are not clear for the UE with capability to receiver the entire spectrum block.</w:t>
      </w: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924FAF" w:rsidRDefault="00C00181" w:rsidP="00C00181">
      <w:pPr>
        <w:pStyle w:val="References"/>
        <w:rPr>
          <w:lang w:eastAsia="zh-CN"/>
        </w:rPr>
      </w:pPr>
      <w:r w:rsidRPr="00C00181">
        <w:rPr>
          <w:lang w:eastAsia="zh-CN"/>
        </w:rPr>
        <w:t>RP-202103</w:t>
      </w:r>
      <w:r w:rsidR="0025622A">
        <w:rPr>
          <w:rFonts w:hint="eastAsia"/>
          <w:lang w:eastAsia="zh-CN"/>
        </w:rPr>
        <w:t>,</w:t>
      </w:r>
      <w:r w:rsidR="0025622A">
        <w:rPr>
          <w:lang w:eastAsia="zh-CN"/>
        </w:rPr>
        <w:t xml:space="preserve"> </w:t>
      </w:r>
      <w:r w:rsidRPr="00C00181">
        <w:rPr>
          <w:lang w:eastAsia="zh-CN"/>
        </w:rPr>
        <w:t>New SID: Study on Efficient utilization of licensed spectrum that is not aligned with existing NR channel bandwidths</w:t>
      </w:r>
      <w:r w:rsidR="00924FAF" w:rsidRPr="00924FAF">
        <w:rPr>
          <w:lang w:eastAsia="zh-CN"/>
        </w:rPr>
        <w:t xml:space="preserve">, </w:t>
      </w:r>
      <w:r w:rsidRPr="00C00181">
        <w:rPr>
          <w:lang w:eastAsia="zh-CN"/>
        </w:rPr>
        <w:t>T-Mobile USA, Ericsson</w:t>
      </w:r>
    </w:p>
    <w:p w:rsidR="009D3032" w:rsidRDefault="009D3032" w:rsidP="00C00181">
      <w:pPr>
        <w:pStyle w:val="References"/>
        <w:rPr>
          <w:lang w:eastAsia="zh-CN"/>
        </w:rPr>
      </w:pPr>
      <w:r w:rsidRPr="009D3032">
        <w:rPr>
          <w:lang w:eastAsia="zh-CN"/>
        </w:rPr>
        <w:t>R4-2103263, Way forward on use of larger CBW, Skyworks Solutions Inc</w:t>
      </w:r>
    </w:p>
    <w:p w:rsidR="002E42D9" w:rsidRDefault="002E42D9" w:rsidP="002E42D9">
      <w:pPr>
        <w:pStyle w:val="References"/>
        <w:rPr>
          <w:lang w:eastAsia="zh-CN"/>
        </w:rPr>
      </w:pPr>
      <w:r w:rsidRPr="002E42D9">
        <w:rPr>
          <w:lang w:eastAsia="zh-CN"/>
        </w:rPr>
        <w:t>R4-2106485</w:t>
      </w:r>
      <w:r>
        <w:rPr>
          <w:lang w:eastAsia="zh-CN"/>
        </w:rPr>
        <w:t xml:space="preserve">, </w:t>
      </w:r>
      <w:r w:rsidRPr="002E42D9">
        <w:rPr>
          <w:lang w:eastAsia="zh-CN"/>
        </w:rPr>
        <w:t>Consideration on use of larger channel bandwidth</w:t>
      </w:r>
      <w:r>
        <w:rPr>
          <w:lang w:eastAsia="zh-CN"/>
        </w:rPr>
        <w:t xml:space="preserve">, </w:t>
      </w:r>
      <w:r w:rsidRPr="002E42D9">
        <w:rPr>
          <w:lang w:eastAsia="zh-CN"/>
        </w:rPr>
        <w:t>Huawei, HiSilicon</w:t>
      </w:r>
    </w:p>
    <w:p w:rsidR="000B0649" w:rsidRDefault="000B0649" w:rsidP="002E42D9">
      <w:pPr>
        <w:pStyle w:val="References"/>
        <w:rPr>
          <w:lang w:eastAsia="zh-CN"/>
        </w:rPr>
      </w:pPr>
      <w:r w:rsidRPr="000B0649">
        <w:rPr>
          <w:lang w:eastAsia="zh-CN"/>
        </w:rPr>
        <w:t>R4-2104587, Utilizing immediate wider bandwidth than the operator licensed bandwidth, Ericsson</w:t>
      </w:r>
    </w:p>
    <w:p w:rsidR="00E407EA" w:rsidRPr="000D06D3" w:rsidRDefault="00E407EA" w:rsidP="00612E55">
      <w:pPr>
        <w:pStyle w:val="References"/>
        <w:numPr>
          <w:ilvl w:val="0"/>
          <w:numId w:val="0"/>
        </w:numPr>
        <w:ind w:left="360"/>
        <w:rPr>
          <w:lang w:eastAsia="zh-CN"/>
        </w:rPr>
      </w:pPr>
    </w:p>
    <w:sectPr w:rsidR="00E407EA" w:rsidRPr="000D06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CF1" w:rsidRDefault="006B1CF1">
      <w:r>
        <w:separator/>
      </w:r>
    </w:p>
  </w:endnote>
  <w:endnote w:type="continuationSeparator" w:id="0">
    <w:p w:rsidR="006B1CF1" w:rsidRDefault="006B1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CF1" w:rsidRDefault="006B1CF1">
      <w:r>
        <w:separator/>
      </w:r>
    </w:p>
  </w:footnote>
  <w:footnote w:type="continuationSeparator" w:id="0">
    <w:p w:rsidR="006B1CF1" w:rsidRDefault="006B1C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E235003"/>
    <w:multiLevelType w:val="hybridMultilevel"/>
    <w:tmpl w:val="836AECB2"/>
    <w:lvl w:ilvl="0" w:tplc="EF682E10">
      <w:start w:val="1"/>
      <w:numFmt w:val="bullet"/>
      <w:lvlText w:val="•"/>
      <w:lvlJc w:val="left"/>
      <w:pPr>
        <w:tabs>
          <w:tab w:val="num" w:pos="720"/>
        </w:tabs>
        <w:ind w:left="720" w:hanging="360"/>
      </w:pPr>
      <w:rPr>
        <w:rFonts w:ascii="Arial" w:hAnsi="Arial" w:hint="default"/>
      </w:rPr>
    </w:lvl>
    <w:lvl w:ilvl="1" w:tplc="7206C58A">
      <w:numFmt w:val="bullet"/>
      <w:lvlText w:val="•"/>
      <w:lvlJc w:val="left"/>
      <w:pPr>
        <w:tabs>
          <w:tab w:val="num" w:pos="1440"/>
        </w:tabs>
        <w:ind w:left="1440" w:hanging="360"/>
      </w:pPr>
      <w:rPr>
        <w:rFonts w:ascii="Arial" w:hAnsi="Arial" w:hint="default"/>
      </w:rPr>
    </w:lvl>
    <w:lvl w:ilvl="2" w:tplc="C98A6C34" w:tentative="1">
      <w:start w:val="1"/>
      <w:numFmt w:val="bullet"/>
      <w:lvlText w:val="•"/>
      <w:lvlJc w:val="left"/>
      <w:pPr>
        <w:tabs>
          <w:tab w:val="num" w:pos="2160"/>
        </w:tabs>
        <w:ind w:left="2160" w:hanging="360"/>
      </w:pPr>
      <w:rPr>
        <w:rFonts w:ascii="Arial" w:hAnsi="Arial" w:hint="default"/>
      </w:rPr>
    </w:lvl>
    <w:lvl w:ilvl="3" w:tplc="85F48BA8" w:tentative="1">
      <w:start w:val="1"/>
      <w:numFmt w:val="bullet"/>
      <w:lvlText w:val="•"/>
      <w:lvlJc w:val="left"/>
      <w:pPr>
        <w:tabs>
          <w:tab w:val="num" w:pos="2880"/>
        </w:tabs>
        <w:ind w:left="2880" w:hanging="360"/>
      </w:pPr>
      <w:rPr>
        <w:rFonts w:ascii="Arial" w:hAnsi="Arial" w:hint="default"/>
      </w:rPr>
    </w:lvl>
    <w:lvl w:ilvl="4" w:tplc="3D0A1FF8" w:tentative="1">
      <w:start w:val="1"/>
      <w:numFmt w:val="bullet"/>
      <w:lvlText w:val="•"/>
      <w:lvlJc w:val="left"/>
      <w:pPr>
        <w:tabs>
          <w:tab w:val="num" w:pos="3600"/>
        </w:tabs>
        <w:ind w:left="3600" w:hanging="360"/>
      </w:pPr>
      <w:rPr>
        <w:rFonts w:ascii="Arial" w:hAnsi="Arial" w:hint="default"/>
      </w:rPr>
    </w:lvl>
    <w:lvl w:ilvl="5" w:tplc="C6C639A2" w:tentative="1">
      <w:start w:val="1"/>
      <w:numFmt w:val="bullet"/>
      <w:lvlText w:val="•"/>
      <w:lvlJc w:val="left"/>
      <w:pPr>
        <w:tabs>
          <w:tab w:val="num" w:pos="4320"/>
        </w:tabs>
        <w:ind w:left="4320" w:hanging="360"/>
      </w:pPr>
      <w:rPr>
        <w:rFonts w:ascii="Arial" w:hAnsi="Arial" w:hint="default"/>
      </w:rPr>
    </w:lvl>
    <w:lvl w:ilvl="6" w:tplc="6FACB4E6" w:tentative="1">
      <w:start w:val="1"/>
      <w:numFmt w:val="bullet"/>
      <w:lvlText w:val="•"/>
      <w:lvlJc w:val="left"/>
      <w:pPr>
        <w:tabs>
          <w:tab w:val="num" w:pos="5040"/>
        </w:tabs>
        <w:ind w:left="5040" w:hanging="360"/>
      </w:pPr>
      <w:rPr>
        <w:rFonts w:ascii="Arial" w:hAnsi="Arial" w:hint="default"/>
      </w:rPr>
    </w:lvl>
    <w:lvl w:ilvl="7" w:tplc="827A2AEE" w:tentative="1">
      <w:start w:val="1"/>
      <w:numFmt w:val="bullet"/>
      <w:lvlText w:val="•"/>
      <w:lvlJc w:val="left"/>
      <w:pPr>
        <w:tabs>
          <w:tab w:val="num" w:pos="5760"/>
        </w:tabs>
        <w:ind w:left="5760" w:hanging="360"/>
      </w:pPr>
      <w:rPr>
        <w:rFonts w:ascii="Arial" w:hAnsi="Arial" w:hint="default"/>
      </w:rPr>
    </w:lvl>
    <w:lvl w:ilvl="8" w:tplc="310849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5"/>
  </w:num>
  <w:num w:numId="5">
    <w:abstractNumId w:val="7"/>
  </w:num>
  <w:num w:numId="6">
    <w:abstractNumId w:val="0"/>
  </w:num>
  <w:num w:numId="7">
    <w:abstractNumId w:val="6"/>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45"/>
    <w:rsid w:val="000109E6"/>
    <w:rsid w:val="00011F67"/>
    <w:rsid w:val="00012862"/>
    <w:rsid w:val="000128E6"/>
    <w:rsid w:val="0001538E"/>
    <w:rsid w:val="00015EFB"/>
    <w:rsid w:val="000165E2"/>
    <w:rsid w:val="00016FEA"/>
    <w:rsid w:val="000172BE"/>
    <w:rsid w:val="00017D8A"/>
    <w:rsid w:val="00023388"/>
    <w:rsid w:val="00023425"/>
    <w:rsid w:val="000238CC"/>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0649"/>
    <w:rsid w:val="000B2985"/>
    <w:rsid w:val="000B2C88"/>
    <w:rsid w:val="000B3342"/>
    <w:rsid w:val="000B34B7"/>
    <w:rsid w:val="000B51FA"/>
    <w:rsid w:val="000B5905"/>
    <w:rsid w:val="000B5975"/>
    <w:rsid w:val="000B6E2C"/>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17ED"/>
    <w:rsid w:val="001024DC"/>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183D"/>
    <w:rsid w:val="00123FFC"/>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2D"/>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2F3D"/>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69F"/>
    <w:rsid w:val="00213830"/>
    <w:rsid w:val="00213E03"/>
    <w:rsid w:val="002140FF"/>
    <w:rsid w:val="002163C3"/>
    <w:rsid w:val="00220894"/>
    <w:rsid w:val="0022484B"/>
    <w:rsid w:val="00224952"/>
    <w:rsid w:val="00224DD2"/>
    <w:rsid w:val="00225A6A"/>
    <w:rsid w:val="00225AC7"/>
    <w:rsid w:val="00225ACC"/>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1C98"/>
    <w:rsid w:val="0026248E"/>
    <w:rsid w:val="00262914"/>
    <w:rsid w:val="00262E57"/>
    <w:rsid w:val="002647BF"/>
    <w:rsid w:val="002647D5"/>
    <w:rsid w:val="00265032"/>
    <w:rsid w:val="002651FB"/>
    <w:rsid w:val="0026538C"/>
    <w:rsid w:val="00265781"/>
    <w:rsid w:val="00266B13"/>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E0319"/>
    <w:rsid w:val="002E0467"/>
    <w:rsid w:val="002E13F0"/>
    <w:rsid w:val="002E179B"/>
    <w:rsid w:val="002E1C9E"/>
    <w:rsid w:val="002E257B"/>
    <w:rsid w:val="002E3C65"/>
    <w:rsid w:val="002E3F5B"/>
    <w:rsid w:val="002E42D9"/>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72E"/>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0DF4"/>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9E6"/>
    <w:rsid w:val="004B4D69"/>
    <w:rsid w:val="004C01A8"/>
    <w:rsid w:val="004C1840"/>
    <w:rsid w:val="004C24C9"/>
    <w:rsid w:val="004C2CBB"/>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C55"/>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7200"/>
    <w:rsid w:val="00530157"/>
    <w:rsid w:val="00531314"/>
    <w:rsid w:val="00531EBE"/>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4D87"/>
    <w:rsid w:val="005B5D0E"/>
    <w:rsid w:val="005B5D66"/>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34D"/>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CF1"/>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07"/>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0914"/>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3D3B"/>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4442"/>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536"/>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C0074"/>
    <w:rsid w:val="009C0564"/>
    <w:rsid w:val="009C0820"/>
    <w:rsid w:val="009C1FA8"/>
    <w:rsid w:val="009C2685"/>
    <w:rsid w:val="009C39BC"/>
    <w:rsid w:val="009C4BC2"/>
    <w:rsid w:val="009C4D22"/>
    <w:rsid w:val="009C7320"/>
    <w:rsid w:val="009D0729"/>
    <w:rsid w:val="009D0F66"/>
    <w:rsid w:val="009D1A06"/>
    <w:rsid w:val="009D1BA4"/>
    <w:rsid w:val="009D22E4"/>
    <w:rsid w:val="009D22F7"/>
    <w:rsid w:val="009D3032"/>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9B2"/>
    <w:rsid w:val="00A83E3D"/>
    <w:rsid w:val="00A840AE"/>
    <w:rsid w:val="00A8443A"/>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4CDE"/>
    <w:rsid w:val="00B25762"/>
    <w:rsid w:val="00B25B40"/>
    <w:rsid w:val="00B25EA7"/>
    <w:rsid w:val="00B25FDE"/>
    <w:rsid w:val="00B26AB0"/>
    <w:rsid w:val="00B26AD2"/>
    <w:rsid w:val="00B26CA2"/>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72FF"/>
    <w:rsid w:val="00B508D7"/>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7AB"/>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1E2"/>
    <w:rsid w:val="00BA0632"/>
    <w:rsid w:val="00BA0AAA"/>
    <w:rsid w:val="00BA0DFB"/>
    <w:rsid w:val="00BA2FEF"/>
    <w:rsid w:val="00BA35BF"/>
    <w:rsid w:val="00BA3DE7"/>
    <w:rsid w:val="00BA7566"/>
    <w:rsid w:val="00BB0CC5"/>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5FE6"/>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1B7D"/>
    <w:rsid w:val="00D12293"/>
    <w:rsid w:val="00D14236"/>
    <w:rsid w:val="00D14553"/>
    <w:rsid w:val="00D14593"/>
    <w:rsid w:val="00D1497A"/>
    <w:rsid w:val="00D14A2C"/>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812"/>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C2C"/>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6AF"/>
    <w:rsid w:val="00E01DAA"/>
    <w:rsid w:val="00E023E5"/>
    <w:rsid w:val="00E02432"/>
    <w:rsid w:val="00E04022"/>
    <w:rsid w:val="00E04757"/>
    <w:rsid w:val="00E0728F"/>
    <w:rsid w:val="00E0755C"/>
    <w:rsid w:val="00E07845"/>
    <w:rsid w:val="00E10EB2"/>
    <w:rsid w:val="00E1131D"/>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AA2"/>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586D"/>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2"/>
      </w:numPr>
      <w:spacing w:before="120"/>
      <w:outlineLvl w:val="1"/>
    </w:pPr>
    <w:rPr>
      <w:b/>
      <w:bCs/>
      <w:sz w:val="24"/>
    </w:rPr>
  </w:style>
  <w:style w:type="paragraph" w:styleId="3">
    <w:name w:val="heading 3"/>
    <w:aliases w:val="heading 3,h3"/>
    <w:basedOn w:val="a0"/>
    <w:next w:val="a0"/>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aliases w:val="Figure Heading,FH"/>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qFormat/>
    <w:rsid w:val="00A92EFA"/>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NO">
    <w:name w:val="NO"/>
    <w:basedOn w:val="a0"/>
    <w:rsid w:val="00DB37D4"/>
    <w:pPr>
      <w:keepLines/>
      <w:overflowPunct w:val="0"/>
      <w:snapToGrid/>
      <w:spacing w:after="180"/>
      <w:ind w:left="1135" w:hanging="851"/>
      <w:jc w:val="left"/>
    </w:pPr>
    <w:rPr>
      <w:rFonts w:eastAsiaTheme="minorEastAsia"/>
      <w:sz w:val="20"/>
      <w:szCs w:val="20"/>
      <w:lang w:val="en-GB"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snapToGrid/>
      <w:spacing w:after="180"/>
      <w:jc w:val="left"/>
    </w:pPr>
    <w:rPr>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177">
      <w:bodyDiv w:val="1"/>
      <w:marLeft w:val="0"/>
      <w:marRight w:val="0"/>
      <w:marTop w:val="0"/>
      <w:marBottom w:val="0"/>
      <w:divBdr>
        <w:top w:val="none" w:sz="0" w:space="0" w:color="auto"/>
        <w:left w:val="none" w:sz="0" w:space="0" w:color="auto"/>
        <w:bottom w:val="none" w:sz="0" w:space="0" w:color="auto"/>
        <w:right w:val="none" w:sz="0" w:space="0" w:color="auto"/>
      </w:divBdr>
    </w:div>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7685935">
      <w:bodyDiv w:val="1"/>
      <w:marLeft w:val="0"/>
      <w:marRight w:val="0"/>
      <w:marTop w:val="0"/>
      <w:marBottom w:val="0"/>
      <w:divBdr>
        <w:top w:val="none" w:sz="0" w:space="0" w:color="auto"/>
        <w:left w:val="none" w:sz="0" w:space="0" w:color="auto"/>
        <w:bottom w:val="none" w:sz="0" w:space="0" w:color="auto"/>
        <w:right w:val="none" w:sz="0" w:space="0" w:color="auto"/>
      </w:divBdr>
      <w:divsChild>
        <w:div w:id="233586636">
          <w:marLeft w:val="360"/>
          <w:marRight w:val="0"/>
          <w:marTop w:val="200"/>
          <w:marBottom w:val="0"/>
          <w:divBdr>
            <w:top w:val="none" w:sz="0" w:space="0" w:color="auto"/>
            <w:left w:val="none" w:sz="0" w:space="0" w:color="auto"/>
            <w:bottom w:val="none" w:sz="0" w:space="0" w:color="auto"/>
            <w:right w:val="none" w:sz="0" w:space="0" w:color="auto"/>
          </w:divBdr>
        </w:div>
        <w:div w:id="666594468">
          <w:marLeft w:val="1080"/>
          <w:marRight w:val="0"/>
          <w:marTop w:val="100"/>
          <w:marBottom w:val="0"/>
          <w:divBdr>
            <w:top w:val="none" w:sz="0" w:space="0" w:color="auto"/>
            <w:left w:val="none" w:sz="0" w:space="0" w:color="auto"/>
            <w:bottom w:val="none" w:sz="0" w:space="0" w:color="auto"/>
            <w:right w:val="none" w:sz="0" w:space="0" w:color="auto"/>
          </w:divBdr>
        </w:div>
        <w:div w:id="183516966">
          <w:marLeft w:val="1080"/>
          <w:marRight w:val="0"/>
          <w:marTop w:val="100"/>
          <w:marBottom w:val="0"/>
          <w:divBdr>
            <w:top w:val="none" w:sz="0" w:space="0" w:color="auto"/>
            <w:left w:val="none" w:sz="0" w:space="0" w:color="auto"/>
            <w:bottom w:val="none" w:sz="0" w:space="0" w:color="auto"/>
            <w:right w:val="none" w:sz="0" w:space="0" w:color="auto"/>
          </w:divBdr>
        </w:div>
        <w:div w:id="2133204272">
          <w:marLeft w:val="1080"/>
          <w:marRight w:val="0"/>
          <w:marTop w:val="100"/>
          <w:marBottom w:val="0"/>
          <w:divBdr>
            <w:top w:val="none" w:sz="0" w:space="0" w:color="auto"/>
            <w:left w:val="none" w:sz="0" w:space="0" w:color="auto"/>
            <w:bottom w:val="none" w:sz="0" w:space="0" w:color="auto"/>
            <w:right w:val="none" w:sz="0" w:space="0" w:color="auto"/>
          </w:divBdr>
        </w:div>
        <w:div w:id="263073996">
          <w:marLeft w:val="1080"/>
          <w:marRight w:val="0"/>
          <w:marTop w:val="100"/>
          <w:marBottom w:val="0"/>
          <w:divBdr>
            <w:top w:val="none" w:sz="0" w:space="0" w:color="auto"/>
            <w:left w:val="none" w:sz="0" w:space="0" w:color="auto"/>
            <w:bottom w:val="none" w:sz="0" w:space="0" w:color="auto"/>
            <w:right w:val="none" w:sz="0" w:space="0" w:color="auto"/>
          </w:divBdr>
        </w:div>
        <w:div w:id="1410496736">
          <w:marLeft w:val="360"/>
          <w:marRight w:val="0"/>
          <w:marTop w:val="200"/>
          <w:marBottom w:val="0"/>
          <w:divBdr>
            <w:top w:val="none" w:sz="0" w:space="0" w:color="auto"/>
            <w:left w:val="none" w:sz="0" w:space="0" w:color="auto"/>
            <w:bottom w:val="none" w:sz="0" w:space="0" w:color="auto"/>
            <w:right w:val="none" w:sz="0" w:space="0" w:color="auto"/>
          </w:divBdr>
        </w:div>
        <w:div w:id="1793552124">
          <w:marLeft w:val="1080"/>
          <w:marRight w:val="0"/>
          <w:marTop w:val="100"/>
          <w:marBottom w:val="0"/>
          <w:divBdr>
            <w:top w:val="none" w:sz="0" w:space="0" w:color="auto"/>
            <w:left w:val="none" w:sz="0" w:space="0" w:color="auto"/>
            <w:bottom w:val="none" w:sz="0" w:space="0" w:color="auto"/>
            <w:right w:val="none" w:sz="0" w:space="0" w:color="auto"/>
          </w:divBdr>
        </w:div>
        <w:div w:id="1006907364">
          <w:marLeft w:val="1080"/>
          <w:marRight w:val="0"/>
          <w:marTop w:val="100"/>
          <w:marBottom w:val="0"/>
          <w:divBdr>
            <w:top w:val="none" w:sz="0" w:space="0" w:color="auto"/>
            <w:left w:val="none" w:sz="0" w:space="0" w:color="auto"/>
            <w:bottom w:val="none" w:sz="0" w:space="0" w:color="auto"/>
            <w:right w:val="none" w:sz="0" w:space="0" w:color="auto"/>
          </w:divBdr>
        </w:div>
        <w:div w:id="683214990">
          <w:marLeft w:val="360"/>
          <w:marRight w:val="0"/>
          <w:marTop w:val="200"/>
          <w:marBottom w:val="0"/>
          <w:divBdr>
            <w:top w:val="none" w:sz="0" w:space="0" w:color="auto"/>
            <w:left w:val="none" w:sz="0" w:space="0" w:color="auto"/>
            <w:bottom w:val="none" w:sz="0" w:space="0" w:color="auto"/>
            <w:right w:val="none" w:sz="0" w:space="0" w:color="auto"/>
          </w:divBdr>
        </w:div>
      </w:divsChild>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FDC1A9-8797-46CB-ABA6-581188380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7</cp:revision>
  <cp:lastPrinted>2007-06-18T22:08:00Z</cp:lastPrinted>
  <dcterms:created xsi:type="dcterms:W3CDTF">2021-05-10T07:37:00Z</dcterms:created>
  <dcterms:modified xsi:type="dcterms:W3CDTF">2021-05-11T13:42:00Z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(3)T8tjJbaaNmQpexZ1V8qAgUbuRGsjG0JsFw0KgCqFLLkVaaR+Uwobe6vAemR5ADvUBPhnPnfo
PbABOMM5UKi2uoBGMFGMNlFaGzRkdzro+L4XZ5Stb/k2OPiNxmoJeIyUZnfsCYEcpTElHTe3
QRYl5QMQsjJlRft3ziL7nCrpQoLRT22gCCD7LbwfnFIvdacj1AizcKMz396u2gRqnSD1zRXH
J51KYMRjFZqyhYnVCV</vt:lpwstr>
  </property>
  <property fmtid="{D5CDD505-2E9C-101B-9397-08002B2CF9AE}" pid="13" name="_2015_ms_pID_725343_00">
    <vt:lpwstr>_2015_ms_pID_725343</vt:lpwstr>
  </property>
  <property fmtid="{D5CDD505-2E9C-101B-9397-08002B2CF9AE}" pid="14" name="_2015_ms_pID_7253431">
    <vt:lpwstr>BZS6tByz7KEZtXyTOJM1jtqKVqRrDya2S6cSATzTh7jl+j6HwQ5PO5
QGwEXKkB08MYljOuT4XOKY4jTMmwarsJSIzKcf2qSt41VnxLP0bqqQBptz3MnZt81KEHOON2
BXVLp7pY15ybXRbU5P5RApyNkJ43QhghlkxjWpZnlWncCwkSXkXXtAtsRjDDwMVCgHefZ+vG
mgztUZfPmTPYwCh5aOgaD4CyWLS8z3OlnrFg</vt:lpwstr>
  </property>
  <property fmtid="{D5CDD505-2E9C-101B-9397-08002B2CF9AE}" pid="15" name="_2015_ms_pID_7253431_00">
    <vt:lpwstr>_2015_ms_pID_7253431</vt:lpwstr>
  </property>
  <property fmtid="{D5CDD505-2E9C-101B-9397-08002B2CF9AE}" pid="16" name="_2015_ms_pID_7253432">
    <vt:lpwstr>GWgtsOe5KEUFCkX2qKXXj4iM44+Am+77EhwH
7nwemPEUtehwUbJwMSkc5FHP+Ij3aA==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